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3427EA6B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044318">
        <w:rPr>
          <w:rFonts w:cs="Times"/>
          <w:b/>
          <w:color w:val="000000" w:themeColor="text1"/>
        </w:rPr>
        <w:t>MUSIK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044318" w:rsidRPr="00E92EA5" w14:paraId="003D66BD" w14:textId="77777777" w:rsidTr="00E92EA5">
        <w:tc>
          <w:tcPr>
            <w:tcW w:w="5240" w:type="dxa"/>
            <w:vAlign w:val="center"/>
          </w:tcPr>
          <w:p w14:paraId="53CF4B40" w14:textId="70C008CB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musicerar och genomför sina sång- och spelstämmor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 </w:t>
            </w:r>
            <w:r>
              <w:rPr>
                <w:rFonts w:ascii="Source Sans Pro" w:hAnsi="Source Sans Pro" w:cs="Calibri"/>
                <w:color w:val="262626"/>
              </w:rPr>
              <w:t>säkerhet. Dessutom anpassar eleven sitt musicerande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till det musikaliska sammanhanget och musikens karaktär.</w:t>
            </w:r>
          </w:p>
        </w:tc>
        <w:tc>
          <w:tcPr>
            <w:tcW w:w="1276" w:type="dxa"/>
          </w:tcPr>
          <w:p w14:paraId="5286CA17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044318" w:rsidRPr="00E92EA5" w14:paraId="4C78F58C" w14:textId="77777777" w:rsidTr="00E92EA5">
        <w:tc>
          <w:tcPr>
            <w:tcW w:w="5240" w:type="dxa"/>
            <w:vAlign w:val="center"/>
          </w:tcPr>
          <w:p w14:paraId="3D356334" w14:textId="2D34894E" w:rsidR="00044318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Genom musikaliskt skapande uttrycker eleven idéer och tankar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sätt. Eleven komponerar musik som har 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form och karaktäristisk stil.</w:t>
            </w:r>
          </w:p>
        </w:tc>
        <w:tc>
          <w:tcPr>
            <w:tcW w:w="1276" w:type="dxa"/>
          </w:tcPr>
          <w:p w14:paraId="61A6A63B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044318" w:rsidRPr="00E92EA5" w14:paraId="61F6635C" w14:textId="77777777" w:rsidTr="00E92EA5">
        <w:tc>
          <w:tcPr>
            <w:tcW w:w="5240" w:type="dxa"/>
            <w:vAlign w:val="center"/>
          </w:tcPr>
          <w:p w14:paraId="321B6B52" w14:textId="15AD6539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urskiljer och jämför musikaliska karaktärsdrag i musik från olika tidsperioder och genrer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säkerhet. Dessutom uttrycker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 </w:t>
            </w:r>
            <w:r>
              <w:rPr>
                <w:rFonts w:ascii="Source Sans Pro" w:hAnsi="Source Sans Pro" w:cs="Calibri"/>
                <w:color w:val="262626"/>
              </w:rPr>
              <w:t>förståelse för musikens innehåll, funktion och betydelse i olika sammanhang.</w:t>
            </w:r>
          </w:p>
        </w:tc>
        <w:tc>
          <w:tcPr>
            <w:tcW w:w="1276" w:type="dxa"/>
          </w:tcPr>
          <w:p w14:paraId="519572D3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26E15"/>
    <w:rsid w:val="00044318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11</cp:revision>
  <dcterms:created xsi:type="dcterms:W3CDTF">2023-01-30T14:01:00Z</dcterms:created>
  <dcterms:modified xsi:type="dcterms:W3CDTF">2023-01-30T14:23:00Z</dcterms:modified>
</cp:coreProperties>
</file>